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230"/>
        <w:outlineLvl w:val="0"/>
        <w:rPr>
          <w:rFonts w:ascii="Times New Roman" w:hAnsi="Times New Roman" w:eastAsia="Times New Roman" w:cs="Times New Roman"/>
          <w:b/>
          <w:kern w:val="2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40"/>
          <w:szCs w:val="40"/>
          <w:lang w:eastAsia="ru-RU"/>
        </w:rPr>
        <w:t>Изменен порядок применения УСН при изменении места нахождения организации и места жительства ИП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 1 января 2025 года вступили в силу изменения, внесённые </w:t>
      </w:r>
      <w:hyperlink r:id="rId2">
        <w:r>
          <w:rPr>
            <w:rFonts w:eastAsia="Times New Roman" w:cs="Times New Roman" w:ascii="Times New Roman" w:hAnsi="Times New Roman"/>
            <w:sz w:val="26"/>
            <w:szCs w:val="26"/>
            <w:lang w:eastAsia="ru-RU"/>
          </w:rPr>
          <w:t>Федеральным законом 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пункт 2 статьи 346.21 Налогового кодекса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Изменениями предусмотрено применение налоговых ставок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по упрощенной системе налогообложения (УСН) </w:t>
      </w:r>
      <w:r>
        <w:rPr>
          <w:rFonts w:cs="Times New Roman" w:ascii="Times New Roman" w:hAnsi="Times New Roman"/>
          <w:sz w:val="26"/>
          <w:szCs w:val="26"/>
        </w:rPr>
        <w:t>при "миграции" организаций и индивидуальных предпринимателей (ИП) из одного субъекта Российской Федерации в другой субъект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Если по новому месту нахождения организации или месту жительства ИП ставка налога по УСН меньше, чем была по предыдущему месту, то в течение трёх лет налог (авансовые платежи по налогу) будет исчисляться по ставке, установленной в субъекте Российской Федерации по предыдущему адресу.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Обновленный порядок уплаты УСН при изменении места нахождения организации или места жительства ИП распространяется на правоотношения, возникшие после 31 декабря 2024 года.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При этом, д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анное правило не распространяется на ситуацию, когда организации и ИП переезжает в регион с более высокой налоговой ставкой. В таком случае повышенная ставка будет применяться с момента изменения места нахождения (места жительства).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42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document/cons_doc_LAW_489269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LibreOffice/7.6.6.3$Linux_X86_64 LibreOffice_project/60$Build-3</Application>
  <AppVersion>15.0000</AppVersion>
  <Pages>1</Pages>
  <Words>159</Words>
  <Characters>1023</Characters>
  <CharactersWithSpaces>1176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2025-05-14T06:21:00Z</dcterms:created>
  <dc:creator>Насырова Ирина Викторовна</dc:creator>
  <dc:description/>
  <dc:language>ru-RU</dc:language>
  <cp:lastModifiedBy>Насырова Ирина Викторовна</cp:lastModifiedBy>
  <dcterms:modified xsi:type="dcterms:W3CDTF">2025-05-14T06:34:00Z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